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7B5536">
      <w:pPr>
        <w:ind w:firstLine="0"/>
        <w:jc w:val="center"/>
        <w:rPr>
          <w:rFonts w:ascii="Times New Roman" w:hAnsi="Times New Roman" w:cs="Times New Roman"/>
          <w:b/>
          <w:sz w:val="28"/>
          <w:szCs w:val="28"/>
        </w:rPr>
      </w:pPr>
      <w:bookmarkStart w:id="0" w:name="_GoBack"/>
      <w:bookmarkEnd w:id="0"/>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lastRenderedPageBreak/>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w:t>
      </w:r>
      <w:r w:rsidRPr="00310B1C">
        <w:rPr>
          <w:rFonts w:ascii="Times New Roman" w:hAnsi="Times New Roman" w:cs="Times New Roman"/>
          <w:sz w:val="28"/>
          <w:szCs w:val="28"/>
        </w:rPr>
        <w:lastRenderedPageBreak/>
        <w:t xml:space="preserve">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Брак заключен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расторжении брака было принято судом 4 июля </w:t>
            </w:r>
            <w:r>
              <w:rPr>
                <w:rFonts w:ascii="Times New Roman" w:hAnsi="Times New Roman" w:cs="Times New Roman"/>
                <w:sz w:val="28"/>
                <w:szCs w:val="28"/>
              </w:rPr>
              <w:lastRenderedPageBreak/>
              <w:t>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w:t>
            </w:r>
            <w:r>
              <w:rPr>
                <w:rFonts w:ascii="Times New Roman" w:hAnsi="Times New Roman" w:cs="Times New Roman"/>
                <w:sz w:val="28"/>
                <w:szCs w:val="28"/>
              </w:rPr>
              <w:lastRenderedPageBreak/>
              <w:t>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lastRenderedPageBreak/>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Сыну гражданина 1 августа 2016 года исполнилось </w:t>
            </w:r>
            <w:r>
              <w:rPr>
                <w:rFonts w:ascii="Times New Roman" w:hAnsi="Times New Roman" w:cs="Times New Roman"/>
                <w:sz w:val="28"/>
                <w:szCs w:val="28"/>
              </w:rPr>
              <w:lastRenderedPageBreak/>
              <w:t>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сына представляются, поскольку сын гражданина считается достигшим возраста 18 лет на следующий день после дня </w:t>
            </w:r>
            <w:r>
              <w:rPr>
                <w:rFonts w:ascii="Times New Roman" w:hAnsi="Times New Roman" w:cs="Times New Roman"/>
                <w:sz w:val="28"/>
                <w:szCs w:val="28"/>
              </w:rPr>
              <w:lastRenderedPageBreak/>
              <w:t>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w:t>
      </w:r>
      <w:r>
        <w:rPr>
          <w:rStyle w:val="a8"/>
          <w:rFonts w:ascii="Times New Roman" w:hAnsi="Times New Roman" w:cs="Times New Roman"/>
          <w:color w:val="000000"/>
          <w:sz w:val="28"/>
          <w:szCs w:val="28"/>
        </w:rPr>
        <w:lastRenderedPageBreak/>
        <w:t xml:space="preserve">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lastRenderedPageBreak/>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w:t>
      </w:r>
      <w:r w:rsidRPr="00096ED3">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xml:space="preserve">) и иные аналогичные выплаты, например денежные средства, полученные участником </w:t>
      </w:r>
      <w:proofErr w:type="spellStart"/>
      <w:r w:rsidRPr="00096ED3">
        <w:rPr>
          <w:rFonts w:ascii="Times New Roman" w:hAnsi="Times New Roman" w:cs="Times New Roman"/>
          <w:sz w:val="28"/>
          <w:szCs w:val="28"/>
        </w:rPr>
        <w:t>накопительно</w:t>
      </w:r>
      <w:proofErr w:type="spellEnd"/>
      <w:r w:rsidRPr="00096ED3">
        <w:rPr>
          <w:rFonts w:ascii="Times New Roman" w:hAnsi="Times New Roman" w:cs="Times New Roman"/>
          <w:sz w:val="28"/>
          <w:szCs w:val="28"/>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096ED3">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w:t>
      </w:r>
      <w:r w:rsidRPr="00096ED3">
        <w:rPr>
          <w:sz w:val="28"/>
          <w:szCs w:val="28"/>
        </w:rPr>
        <w:lastRenderedPageBreak/>
        <w:t xml:space="preserve">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cs="Times New Roman"/>
          <w:sz w:val="28"/>
          <w:szCs w:val="28"/>
        </w:rPr>
        <w:t xml:space="preserve">за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proofErr w:type="spellStart"/>
      <w:r w:rsidR="00096ED3" w:rsidRPr="00AD768F">
        <w:rPr>
          <w:rFonts w:ascii="Times New Roman" w:hAnsi="Times New Roman" w:cs="Times New Roman"/>
          <w:sz w:val="28"/>
          <w:szCs w:val="28"/>
        </w:rPr>
        <w:t>наемом</w:t>
      </w:r>
      <w:proofErr w:type="spellEnd"/>
      <w:r w:rsidR="00096ED3" w:rsidRPr="00AD768F">
        <w:rPr>
          <w:rFonts w:ascii="Times New Roman" w:hAnsi="Times New Roman" w:cs="Times New Roman"/>
          <w:sz w:val="28"/>
          <w:szCs w:val="28"/>
        </w:rPr>
        <w:t xml:space="preserve"> (</w:t>
      </w:r>
      <w:proofErr w:type="spellStart"/>
      <w:r w:rsidR="00096ED3" w:rsidRPr="00AD768F">
        <w:rPr>
          <w:rFonts w:ascii="Times New Roman" w:hAnsi="Times New Roman" w:cs="Times New Roman"/>
          <w:sz w:val="28"/>
          <w:szCs w:val="28"/>
        </w:rPr>
        <w:t>поднаемом</w:t>
      </w:r>
      <w:proofErr w:type="spellEnd"/>
      <w:r w:rsidR="00096ED3" w:rsidRPr="00AD768F">
        <w:rPr>
          <w:rFonts w:ascii="Times New Roman" w:hAnsi="Times New Roman" w:cs="Times New Roman"/>
          <w:sz w:val="28"/>
          <w:szCs w:val="28"/>
        </w:rPr>
        <w:t xml:space="preserve">)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xml:space="preserve">) с оплатой коммунальных и иных услуг, </w:t>
      </w:r>
      <w:proofErr w:type="spellStart"/>
      <w:r w:rsidR="00096ED3" w:rsidRPr="00096ED3">
        <w:rPr>
          <w:rFonts w:ascii="Times New Roman" w:hAnsi="Times New Roman" w:cs="Times New Roman"/>
          <w:sz w:val="28"/>
          <w:szCs w:val="28"/>
        </w:rPr>
        <w:t>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w:t>
      </w:r>
      <w:proofErr w:type="spellEnd"/>
      <w:r w:rsidR="00096ED3" w:rsidRPr="00096ED3">
        <w:rPr>
          <w:rFonts w:ascii="Times New Roman" w:hAnsi="Times New Roman" w:cs="Times New Roman"/>
          <w:sz w:val="28"/>
          <w:szCs w:val="28"/>
        </w:rPr>
        <w:t xml:space="preserve">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w:t>
      </w:r>
      <w:proofErr w:type="spellStart"/>
      <w:r w:rsidRPr="00096ED3">
        <w:rPr>
          <w:rFonts w:ascii="Times New Roman" w:hAnsi="Times New Roman" w:cs="Times New Roman"/>
          <w:sz w:val="28"/>
          <w:szCs w:val="28"/>
        </w:rPr>
        <w:t>кэшбэк</w:t>
      </w:r>
      <w:proofErr w:type="spellEnd"/>
      <w:r w:rsidRPr="00096ED3">
        <w:rPr>
          <w:rFonts w:ascii="Times New Roman" w:hAnsi="Times New Roman" w:cs="Times New Roman"/>
          <w:sz w:val="28"/>
          <w:szCs w:val="28"/>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096ED3">
        <w:rPr>
          <w:rFonts w:ascii="Times New Roman" w:hAnsi="Times New Roman" w:cs="Times New Roman"/>
          <w:sz w:val="28"/>
          <w:szCs w:val="28"/>
        </w:rPr>
        <w:t>накопительно</w:t>
      </w:r>
      <w:proofErr w:type="spellEnd"/>
      <w:r w:rsidRPr="00096ED3">
        <w:rPr>
          <w:rFonts w:ascii="Times New Roman" w:hAnsi="Times New Roman" w:cs="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lastRenderedPageBreak/>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096ED3">
        <w:rPr>
          <w:rFonts w:ascii="Times New Roman" w:hAnsi="Times New Roman" w:cs="Times New Roman"/>
          <w:sz w:val="28"/>
          <w:szCs w:val="28"/>
        </w:rPr>
        <w:t>накопительно</w:t>
      </w:r>
      <w:proofErr w:type="spellEnd"/>
      <w:r w:rsidRPr="00096ED3">
        <w:rPr>
          <w:rFonts w:ascii="Times New Roman" w:hAnsi="Times New Roman" w:cs="Times New Roman"/>
          <w:sz w:val="28"/>
          <w:szCs w:val="28"/>
        </w:rPr>
        <w:t>-ипотечной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w:t>
      </w:r>
      <w:r w:rsidRPr="00096ED3">
        <w:rPr>
          <w:rFonts w:ascii="Times New Roman" w:hAnsi="Times New Roman" w:cs="Times New Roman"/>
          <w:sz w:val="28"/>
          <w:szCs w:val="28"/>
        </w:rPr>
        <w:lastRenderedPageBreak/>
        <w:t xml:space="preserve">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lastRenderedPageBreak/>
        <w:t xml:space="preserve">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096ED3">
        <w:rPr>
          <w:rFonts w:ascii="Times New Roman" w:hAnsi="Times New Roman" w:cs="Times New Roman"/>
          <w:sz w:val="28"/>
          <w:szCs w:val="28"/>
        </w:rPr>
        <w:t>Росреестре</w:t>
      </w:r>
      <w:proofErr w:type="spellEnd"/>
      <w:r w:rsidRPr="00096ED3">
        <w:rPr>
          <w:rFonts w:ascii="Times New Roman" w:hAnsi="Times New Roman" w:cs="Times New Roman"/>
          <w:sz w:val="28"/>
          <w:szCs w:val="28"/>
        </w:rPr>
        <w:t>).</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096ED3">
        <w:rPr>
          <w:rFonts w:ascii="Times New Roman" w:hAnsi="Times New Roman" w:cs="Times New Roman"/>
          <w:sz w:val="28"/>
          <w:szCs w:val="28"/>
        </w:rPr>
        <w:lastRenderedPageBreak/>
        <w:t>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w:t>
      </w:r>
      <w:r w:rsidRPr="00866005">
        <w:rPr>
          <w:rFonts w:ascii="Times New Roman" w:hAnsi="Times New Roman" w:cs="Times New Roman"/>
          <w:sz w:val="28"/>
          <w:szCs w:val="28"/>
        </w:rPr>
        <w:lastRenderedPageBreak/>
        <w:t>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096ED3">
        <w:rPr>
          <w:rFonts w:ascii="Times New Roman" w:hAnsi="Times New Roman" w:cs="Times New Roman"/>
          <w:sz w:val="28"/>
          <w:szCs w:val="28"/>
        </w:rPr>
        <w:lastRenderedPageBreak/>
        <w:t>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lastRenderedPageBreak/>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w:t>
        </w:r>
        <w:proofErr w:type="spellStart"/>
        <w:r w:rsidRPr="00096ED3">
          <w:rPr>
            <w:rFonts w:ascii="Times New Roman" w:eastAsia="Times New Roman" w:hAnsi="Times New Roman" w:cs="Times New Roman"/>
            <w:bCs/>
            <w:sz w:val="28"/>
            <w:szCs w:val="28"/>
            <w:lang w:eastAsia="ru-RU"/>
          </w:rPr>
          <w:t>Шалинский</w:t>
        </w:r>
        <w:proofErr w:type="spellEnd"/>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 xml:space="preserve">ОГИБДД ММО МВД России по </w:t>
        </w:r>
        <w:proofErr w:type="spellStart"/>
        <w:r w:rsidRPr="00096ED3">
          <w:rPr>
            <w:rFonts w:ascii="Times New Roman" w:eastAsia="Times New Roman" w:hAnsi="Times New Roman" w:cs="Times New Roman"/>
            <w:bCs/>
            <w:sz w:val="28"/>
            <w:szCs w:val="28"/>
            <w:lang w:eastAsia="ru-RU"/>
          </w:rPr>
          <w:t>Новолялинскому</w:t>
        </w:r>
        <w:proofErr w:type="spellEnd"/>
        <w:r w:rsidRPr="00096ED3">
          <w:rPr>
            <w:rFonts w:ascii="Times New Roman" w:eastAsia="Times New Roman" w:hAnsi="Times New Roman" w:cs="Times New Roman"/>
            <w:bCs/>
            <w:sz w:val="28"/>
            <w:szCs w:val="28"/>
            <w:lang w:eastAsia="ru-RU"/>
          </w:rPr>
          <w:t xml:space="preserve">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lastRenderedPageBreak/>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096ED3">
              <w:rPr>
                <w:rFonts w:ascii="Times New Roman" w:hAnsi="Times New Roman" w:cs="Times New Roman"/>
                <w:sz w:val="28"/>
                <w:szCs w:val="28"/>
              </w:rPr>
              <w:lastRenderedPageBreak/>
              <w:t xml:space="preserve">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096ED3">
              <w:rPr>
                <w:rFonts w:ascii="Times New Roman" w:hAnsi="Times New Roman" w:cs="Times New Roman"/>
                <w:sz w:val="28"/>
                <w:szCs w:val="28"/>
              </w:rPr>
              <w:t>эскроу</w:t>
            </w:r>
            <w:proofErr w:type="spellEnd"/>
            <w:r w:rsidRPr="00096ED3">
              <w:rPr>
                <w:rFonts w:ascii="Times New Roman" w:hAnsi="Times New Roman" w:cs="Times New Roman"/>
                <w:sz w:val="28"/>
                <w:szCs w:val="28"/>
              </w:rPr>
              <w:t>,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096ED3">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w:t>
      </w:r>
      <w:proofErr w:type="spellStart"/>
      <w:r w:rsidR="00980A5D">
        <w:rPr>
          <w:rStyle w:val="a8"/>
          <w:rFonts w:ascii="Times New Roman" w:hAnsi="Times New Roman" w:cs="Times New Roman"/>
          <w:color w:val="000000"/>
          <w:sz w:val="28"/>
          <w:szCs w:val="28"/>
        </w:rPr>
        <w:t>перевыпуска</w:t>
      </w:r>
      <w:proofErr w:type="spellEnd"/>
      <w:r w:rsidR="00980A5D">
        <w:rPr>
          <w:rStyle w:val="a8"/>
          <w:rFonts w:ascii="Times New Roman" w:hAnsi="Times New Roman" w:cs="Times New Roman"/>
          <w:color w:val="000000"/>
          <w:sz w:val="28"/>
          <w:szCs w:val="28"/>
        </w:rPr>
        <w:t xml:space="preserve">)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w:t>
      </w:r>
      <w:r w:rsidRPr="00096ED3">
        <w:rPr>
          <w:rFonts w:ascii="Times New Roman" w:hAnsi="Times New Roman" w:cs="Times New Roman"/>
          <w:sz w:val="28"/>
          <w:szCs w:val="28"/>
        </w:rPr>
        <w:lastRenderedPageBreak/>
        <w:t xml:space="preserve">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096ED3">
        <w:rPr>
          <w:rFonts w:ascii="Times New Roman" w:hAnsi="Times New Roman" w:cs="Times New Roman"/>
          <w:sz w:val="28"/>
          <w:szCs w:val="28"/>
        </w:rPr>
        <w:t>софинансирования</w:t>
      </w:r>
      <w:proofErr w:type="spellEnd"/>
      <w:r w:rsidRPr="00096ED3">
        <w:rPr>
          <w:rFonts w:ascii="Times New Roman" w:hAnsi="Times New Roman" w:cs="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proofErr w:type="spellStart"/>
      <w:r w:rsidRPr="00096ED3">
        <w:rPr>
          <w:rFonts w:ascii="Times New Roman" w:hAnsi="Times New Roman" w:cs="Times New Roman"/>
          <w:sz w:val="28"/>
          <w:szCs w:val="28"/>
          <w:lang w:val="en-US"/>
        </w:rPr>
        <w:t>Qiwi</w:t>
      </w:r>
      <w:proofErr w:type="spellEnd"/>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w:t>
      </w:r>
      <w:r w:rsidRPr="00096ED3">
        <w:rPr>
          <w:rFonts w:ascii="Times New Roman" w:hAnsi="Times New Roman" w:cs="Times New Roman"/>
          <w:sz w:val="28"/>
          <w:szCs w:val="28"/>
        </w:rPr>
        <w:lastRenderedPageBreak/>
        <w:t xml:space="preserve">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w:t>
      </w:r>
      <w:proofErr w:type="spellStart"/>
      <w:r w:rsidRPr="00096ED3">
        <w:rPr>
          <w:rFonts w:ascii="Times New Roman" w:hAnsi="Times New Roman" w:cs="Times New Roman"/>
          <w:sz w:val="28"/>
          <w:szCs w:val="28"/>
        </w:rPr>
        <w:t>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roofErr w:type="spellEnd"/>
      <w:r w:rsidRPr="00096ED3">
        <w:rPr>
          <w:rFonts w:ascii="Times New Roman" w:hAnsi="Times New Roman" w:cs="Times New Roman"/>
          <w:sz w:val="28"/>
          <w:szCs w:val="28"/>
        </w:rPr>
        <w:t xml:space="preserve">, </w:t>
      </w:r>
      <w:proofErr w:type="spellStart"/>
      <w:r w:rsidRPr="00096ED3">
        <w:rPr>
          <w:rFonts w:ascii="Times New Roman" w:hAnsi="Times New Roman" w:cs="Times New Roman"/>
          <w:sz w:val="28"/>
          <w:szCs w:val="28"/>
        </w:rPr>
        <w:t>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roofErr w:type="spellEnd"/>
      <w:r w:rsidRPr="00096ED3">
        <w:rPr>
          <w:rFonts w:ascii="Times New Roman" w:hAnsi="Times New Roman" w:cs="Times New Roman"/>
          <w:sz w:val="28"/>
          <w:szCs w:val="28"/>
        </w:rPr>
        <w:t>);</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 xml:space="preserve">или к использованию по назначению, но не зарегистрированные в установленном порядке органами </w:t>
      </w:r>
      <w:proofErr w:type="spellStart"/>
      <w:r w:rsidRPr="000824EF">
        <w:rPr>
          <w:rFonts w:ascii="Times New Roman" w:hAnsi="Times New Roman" w:cs="Times New Roman"/>
          <w:sz w:val="28"/>
          <w:szCs w:val="28"/>
        </w:rPr>
        <w:t>Росреестра</w:t>
      </w:r>
      <w:proofErr w:type="spellEnd"/>
      <w:r w:rsidRPr="000824EF">
        <w:rPr>
          <w:rFonts w:ascii="Times New Roman" w:hAnsi="Times New Roman" w:cs="Times New Roman"/>
          <w:sz w:val="28"/>
          <w:szCs w:val="28"/>
        </w:rPr>
        <w:t>,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xml:space="preserve">» указываются основание </w:t>
      </w:r>
      <w:r w:rsidRPr="00C20E8C">
        <w:rPr>
          <w:rFonts w:ascii="Times New Roman" w:hAnsi="Times New Roman" w:cs="Times New Roman"/>
          <w:sz w:val="28"/>
          <w:szCs w:val="28"/>
        </w:rPr>
        <w:lastRenderedPageBreak/>
        <w:t>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случае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 xml:space="preserve">получения свидетельства о государственной регистрации объекта долевого </w:t>
      </w:r>
      <w:r w:rsidR="00096ED3" w:rsidRPr="00096ED3">
        <w:rPr>
          <w:rFonts w:ascii="Times New Roman" w:hAnsi="Times New Roman" w:cs="Times New Roman"/>
          <w:sz w:val="28"/>
          <w:szCs w:val="28"/>
        </w:rPr>
        <w:lastRenderedPageBreak/>
        <w:t>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096ED3">
        <w:rPr>
          <w:rFonts w:ascii="Times New Roman" w:hAnsi="Times New Roman" w:cs="Times New Roman"/>
          <w:sz w:val="28"/>
          <w:szCs w:val="28"/>
        </w:rPr>
        <w:t>созаемщиками</w:t>
      </w:r>
      <w:proofErr w:type="spellEnd"/>
      <w:r w:rsidRPr="00096ED3">
        <w:rPr>
          <w:rFonts w:ascii="Times New Roman" w:hAnsi="Times New Roman" w:cs="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096ED3">
        <w:rPr>
          <w:rFonts w:ascii="Times New Roman" w:hAnsi="Times New Roman" w:cs="Times New Roman"/>
          <w:sz w:val="28"/>
          <w:szCs w:val="28"/>
        </w:rPr>
        <w:t>созаемщиков</w:t>
      </w:r>
      <w:proofErr w:type="spellEnd"/>
      <w:r w:rsidRPr="00096ED3">
        <w:rPr>
          <w:rFonts w:ascii="Times New Roman" w:hAnsi="Times New Roman" w:cs="Times New Roman"/>
          <w:sz w:val="28"/>
          <w:szCs w:val="28"/>
        </w:rPr>
        <w:t>.</w:t>
      </w:r>
    </w:p>
    <w:sectPr w:rsidR="008937E4" w:rsidRPr="003546FE" w:rsidSect="00EE4B15">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757" w:rsidRDefault="007B5757" w:rsidP="00204BB5">
      <w:r>
        <w:separator/>
      </w:r>
    </w:p>
  </w:endnote>
  <w:endnote w:type="continuationSeparator" w:id="0">
    <w:p w:rsidR="007B5757" w:rsidRDefault="007B575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757" w:rsidRDefault="007B5757" w:rsidP="00204BB5">
      <w:r>
        <w:separator/>
      </w:r>
    </w:p>
  </w:footnote>
  <w:footnote w:type="continuationSeparator" w:id="0">
    <w:p w:rsidR="007B5757" w:rsidRDefault="007B5757"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B34CD6">
          <w:rPr>
            <w:rFonts w:ascii="Times New Roman" w:hAnsi="Times New Roman" w:cs="Times New Roman"/>
            <w:noProof/>
            <w:sz w:val="28"/>
            <w:szCs w:val="28"/>
          </w:rPr>
          <w:t>21</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15:restartNumberingAfterBreak="0">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15:restartNumberingAfterBreak="0">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15:restartNumberingAfterBreak="0">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B5757"/>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34CD6"/>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35EBE-B860-4F7E-A7B0-888A7450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D608749-5B0C-4CF7-8DFC-401ABACF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14218</Words>
  <Characters>81045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Ирина Владимировна Галова</cp:lastModifiedBy>
  <cp:revision>2</cp:revision>
  <cp:lastPrinted>2016-11-22T16:59:00Z</cp:lastPrinted>
  <dcterms:created xsi:type="dcterms:W3CDTF">2017-01-09T10:05:00Z</dcterms:created>
  <dcterms:modified xsi:type="dcterms:W3CDTF">2017-01-09T10:05:00Z</dcterms:modified>
</cp:coreProperties>
</file>